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590" w:rsidRDefault="00992590" w:rsidP="004A086C">
      <w:pPr>
        <w:tabs>
          <w:tab w:val="left" w:pos="142"/>
        </w:tabs>
        <w:ind w:right="-1" w:firstLine="567"/>
        <w:jc w:val="center"/>
        <w:rPr>
          <w:b/>
          <w:szCs w:val="28"/>
        </w:rPr>
      </w:pPr>
      <w:r w:rsidRPr="002550E4">
        <w:rPr>
          <w:b/>
          <w:szCs w:val="28"/>
        </w:rPr>
        <w:t>Тема 3. Т</w:t>
      </w:r>
      <w:r w:rsidR="002550E4" w:rsidRPr="002550E4">
        <w:rPr>
          <w:b/>
          <w:szCs w:val="28"/>
        </w:rPr>
        <w:t>еория ожидаемой полезности</w:t>
      </w:r>
    </w:p>
    <w:p w:rsidR="004A086C" w:rsidRPr="006A557A" w:rsidRDefault="004A086C" w:rsidP="004A086C">
      <w:pPr>
        <w:tabs>
          <w:tab w:val="left" w:pos="142"/>
        </w:tabs>
        <w:ind w:right="-1" w:firstLine="567"/>
        <w:jc w:val="center"/>
        <w:rPr>
          <w:b/>
          <w:szCs w:val="28"/>
        </w:rPr>
      </w:pPr>
    </w:p>
    <w:p w:rsidR="00992590" w:rsidRPr="004A086C" w:rsidRDefault="004A086C" w:rsidP="006A557A">
      <w:pPr>
        <w:tabs>
          <w:tab w:val="left" w:pos="142"/>
          <w:tab w:val="left" w:pos="426"/>
          <w:tab w:val="left" w:pos="709"/>
        </w:tabs>
        <w:ind w:right="-1"/>
        <w:jc w:val="center"/>
        <w:rPr>
          <w:szCs w:val="28"/>
        </w:rPr>
      </w:pPr>
      <w:r>
        <w:rPr>
          <w:szCs w:val="28"/>
        </w:rPr>
        <w:t xml:space="preserve">3.3 </w:t>
      </w:r>
      <w:r w:rsidR="00992590" w:rsidRPr="004A086C">
        <w:rPr>
          <w:szCs w:val="28"/>
        </w:rPr>
        <w:t xml:space="preserve">Функция полезности </w:t>
      </w:r>
      <w:r w:rsidR="00992590" w:rsidRPr="004A086C">
        <w:rPr>
          <w:szCs w:val="28"/>
          <w:lang w:val="en-US"/>
        </w:rPr>
        <w:t>U</w:t>
      </w:r>
      <w:r w:rsidR="00992590" w:rsidRPr="004A086C">
        <w:rPr>
          <w:szCs w:val="28"/>
        </w:rPr>
        <w:t>(</w:t>
      </w:r>
      <m:oMath>
        <m:r>
          <w:rPr>
            <w:rFonts w:ascii="Cambria Math" w:hAnsi="Cambria Math"/>
            <w:szCs w:val="28"/>
            <w:lang w:val="en-US"/>
          </w:rPr>
          <m:t>σ</m:t>
        </m:r>
        <m:r>
          <w:rPr>
            <w:rFonts w:ascii="Cambria Math"/>
            <w:szCs w:val="28"/>
          </w:rPr>
          <m:t>,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="00992590" w:rsidRPr="004A086C">
        <w:rPr>
          <w:szCs w:val="28"/>
        </w:rPr>
        <w:t>), карта кривых безразличия</w:t>
      </w:r>
    </w:p>
    <w:p w:rsidR="00870265" w:rsidRDefault="00870265" w:rsidP="002550E4">
      <w:pPr>
        <w:pStyle w:val="a3"/>
        <w:tabs>
          <w:tab w:val="left" w:pos="142"/>
        </w:tabs>
        <w:ind w:left="0" w:right="-1" w:firstLine="567"/>
        <w:rPr>
          <w:szCs w:val="28"/>
        </w:rPr>
      </w:pPr>
    </w:p>
    <w:p w:rsidR="001B3160" w:rsidRDefault="00407DC8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r w:rsidRPr="00407DC8">
        <w:rPr>
          <w:rFonts w:ascii="Arial" w:hAnsi="Arial" w:cs="Arial"/>
          <w:szCs w:val="28"/>
        </w:rPr>
        <w:t xml:space="preserve">Рассмотрим функции полезности </w:t>
      </w:r>
      <w:r w:rsidR="00D34973" w:rsidRPr="005F422B">
        <w:rPr>
          <w:rFonts w:ascii="Arial" w:hAnsi="Arial" w:cs="Arial"/>
          <w:position w:val="-10"/>
          <w:szCs w:val="28"/>
        </w:rPr>
        <w:object w:dxaOrig="8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0pt;height:19pt" o:ole="">
            <v:imagedata r:id="rId5" o:title=""/>
          </v:shape>
          <o:OLEObject Type="Embed" ProgID="Equation.3" ShapeID="_x0000_i1026" DrawAspect="Content" ObjectID="_1410020972" r:id="rId6"/>
        </w:object>
      </w:r>
      <w:r w:rsidRPr="00407DC8">
        <w:rPr>
          <w:rFonts w:ascii="Arial" w:hAnsi="Arial" w:cs="Arial"/>
          <w:szCs w:val="28"/>
        </w:rPr>
        <w:t xml:space="preserve">, с помощью которой </w:t>
      </w:r>
      <w:r w:rsidR="001B3160">
        <w:rPr>
          <w:rFonts w:ascii="Arial" w:hAnsi="Arial" w:cs="Arial"/>
          <w:szCs w:val="28"/>
        </w:rPr>
        <w:t>индивид</w:t>
      </w:r>
      <w:r w:rsidRPr="00407DC8">
        <w:rPr>
          <w:rFonts w:ascii="Arial" w:hAnsi="Arial" w:cs="Arial"/>
          <w:szCs w:val="28"/>
        </w:rPr>
        <w:t xml:space="preserve"> оценивает </w:t>
      </w:r>
      <w:r w:rsidR="007D5FFF">
        <w:rPr>
          <w:rFonts w:ascii="Arial" w:hAnsi="Arial" w:cs="Arial"/>
          <w:szCs w:val="28"/>
        </w:rPr>
        <w:t xml:space="preserve">некоторую </w:t>
      </w:r>
      <w:r w:rsidRPr="00407DC8">
        <w:rPr>
          <w:rFonts w:ascii="Arial" w:hAnsi="Arial" w:cs="Arial"/>
          <w:szCs w:val="28"/>
        </w:rPr>
        <w:t>альтернативу</w:t>
      </w:r>
      <w:r w:rsidR="007D5FFF">
        <w:rPr>
          <w:rFonts w:ascii="Arial" w:hAnsi="Arial" w:cs="Arial"/>
          <w:szCs w:val="28"/>
        </w:rPr>
        <w:t xml:space="preserve"> (например, лотерею</w:t>
      </w:r>
      <w:r w:rsidR="00D34973">
        <w:rPr>
          <w:rFonts w:ascii="Arial" w:hAnsi="Arial" w:cs="Arial"/>
          <w:szCs w:val="28"/>
        </w:rPr>
        <w:t>, инвестиционный проект и т.п.)</w:t>
      </w:r>
      <w:r w:rsidRPr="00407DC8">
        <w:rPr>
          <w:rFonts w:ascii="Arial" w:hAnsi="Arial" w:cs="Arial"/>
          <w:szCs w:val="28"/>
        </w:rPr>
        <w:t xml:space="preserve"> с риском</w:t>
      </w:r>
      <w:r w:rsidR="005F422B">
        <w:rPr>
          <w:rFonts w:ascii="Arial" w:hAnsi="Arial" w:cs="Arial"/>
          <w:szCs w:val="28"/>
        </w:rPr>
        <w:t xml:space="preserve"> (стандартным отклонением</w:t>
      </w:r>
      <w:r w:rsidR="00A46A2F">
        <w:rPr>
          <w:rFonts w:ascii="Arial" w:hAnsi="Arial" w:cs="Arial"/>
          <w:szCs w:val="28"/>
        </w:rPr>
        <w:t xml:space="preserve"> доходности</w:t>
      </w:r>
      <w:r w:rsidR="005F422B">
        <w:rPr>
          <w:rFonts w:ascii="Arial" w:hAnsi="Arial" w:cs="Arial"/>
          <w:szCs w:val="28"/>
        </w:rPr>
        <w:t>)</w:t>
      </w:r>
      <w:r w:rsidRPr="00407DC8">
        <w:rPr>
          <w:rFonts w:ascii="Arial" w:hAnsi="Arial" w:cs="Arial"/>
          <w:szCs w:val="28"/>
        </w:rPr>
        <w:t xml:space="preserve"> </w:t>
      </w:r>
      <w:r w:rsidRPr="005F422B">
        <w:rPr>
          <w:rFonts w:ascii="Arial" w:hAnsi="Arial" w:cs="Arial"/>
          <w:i/>
          <w:szCs w:val="28"/>
        </w:rPr>
        <w:t>σ</w:t>
      </w:r>
      <w:r w:rsidRPr="00407DC8">
        <w:rPr>
          <w:rFonts w:ascii="Arial" w:hAnsi="Arial" w:cs="Arial"/>
          <w:szCs w:val="28"/>
        </w:rPr>
        <w:t xml:space="preserve"> и ожидаемой доходностью</w:t>
      </w:r>
      <w:r w:rsidR="001B3160">
        <w:rPr>
          <w:rFonts w:ascii="Arial" w:hAnsi="Arial" w:cs="Arial"/>
          <w:szCs w:val="28"/>
        </w:rPr>
        <w:t xml:space="preserve"> (мат. ожидание</w:t>
      </w:r>
      <w:r w:rsidR="00CB2A68">
        <w:rPr>
          <w:rFonts w:ascii="Arial" w:hAnsi="Arial" w:cs="Arial"/>
          <w:szCs w:val="28"/>
        </w:rPr>
        <w:t>м</w:t>
      </w:r>
      <w:r w:rsidR="001B3160">
        <w:rPr>
          <w:rFonts w:ascii="Arial" w:hAnsi="Arial" w:cs="Arial"/>
          <w:szCs w:val="28"/>
        </w:rPr>
        <w:t xml:space="preserve"> доходност</w:t>
      </w:r>
      <w:r w:rsidR="00A46A2F">
        <w:rPr>
          <w:rFonts w:ascii="Arial" w:hAnsi="Arial" w:cs="Arial"/>
          <w:szCs w:val="28"/>
        </w:rPr>
        <w:t>и</w:t>
      </w:r>
      <w:r w:rsidR="001B3160">
        <w:rPr>
          <w:rFonts w:ascii="Arial" w:hAnsi="Arial" w:cs="Arial"/>
          <w:szCs w:val="28"/>
        </w:rPr>
        <w:t>)</w:t>
      </w:r>
      <w:r w:rsidRPr="00407DC8">
        <w:rPr>
          <w:rFonts w:ascii="Arial" w:hAnsi="Arial" w:cs="Arial"/>
          <w:szCs w:val="28"/>
        </w:rPr>
        <w:t xml:space="preserve"> </w:t>
      </w:r>
      <w:r w:rsidRPr="00407DC8">
        <w:rPr>
          <w:rFonts w:ascii="Arial" w:hAnsi="Arial" w:cs="Arial"/>
          <w:i/>
          <w:szCs w:val="28"/>
          <w:lang w:val="en-US"/>
        </w:rPr>
        <w:t>m</w:t>
      </w:r>
      <w:r w:rsidRPr="00407DC8">
        <w:rPr>
          <w:rFonts w:ascii="Arial" w:hAnsi="Arial" w:cs="Arial"/>
          <w:szCs w:val="28"/>
        </w:rPr>
        <w:t xml:space="preserve">. </w:t>
      </w:r>
    </w:p>
    <w:p w:rsidR="00407DC8" w:rsidRPr="00407DC8" w:rsidRDefault="001B3160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Естественно, что п</w:t>
      </w:r>
      <w:r w:rsidR="00407DC8" w:rsidRPr="00407DC8">
        <w:rPr>
          <w:rFonts w:ascii="Arial" w:hAnsi="Arial" w:cs="Arial"/>
          <w:szCs w:val="28"/>
        </w:rPr>
        <w:t>редпочтение отдается варианту с большим значением функции</w:t>
      </w:r>
      <w:r>
        <w:rPr>
          <w:rFonts w:ascii="Arial" w:hAnsi="Arial" w:cs="Arial"/>
          <w:szCs w:val="28"/>
        </w:rPr>
        <w:t xml:space="preserve"> полезности</w:t>
      </w:r>
      <w:r w:rsidR="00407DC8" w:rsidRPr="00407DC8">
        <w:rPr>
          <w:rFonts w:ascii="Arial" w:hAnsi="Arial" w:cs="Arial"/>
          <w:szCs w:val="28"/>
        </w:rPr>
        <w:t>.</w:t>
      </w:r>
    </w:p>
    <w:p w:rsidR="00407DC8" w:rsidRDefault="00407DC8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r w:rsidRPr="00407DC8">
        <w:rPr>
          <w:rFonts w:ascii="Arial" w:hAnsi="Arial" w:cs="Arial"/>
          <w:szCs w:val="28"/>
        </w:rPr>
        <w:t xml:space="preserve">Эквивалентные варианты определяться как </w:t>
      </w:r>
    </w:p>
    <w:p w:rsidR="007D5FFF" w:rsidRPr="00407DC8" w:rsidRDefault="007D5FFF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</w:p>
    <w:p w:rsidR="007D5FFF" w:rsidRDefault="00D34973" w:rsidP="007D5FFF">
      <w:pPr>
        <w:tabs>
          <w:tab w:val="left" w:pos="142"/>
        </w:tabs>
        <w:ind w:firstLine="567"/>
        <w:jc w:val="center"/>
        <w:rPr>
          <w:rFonts w:ascii="Arial" w:hAnsi="Arial" w:cs="Arial"/>
          <w:szCs w:val="28"/>
        </w:rPr>
      </w:pPr>
      <w:r w:rsidRPr="00407DC8">
        <w:rPr>
          <w:rFonts w:ascii="Arial" w:hAnsi="Arial" w:cs="Arial"/>
          <w:position w:val="-10"/>
          <w:szCs w:val="28"/>
        </w:rPr>
        <w:object w:dxaOrig="1260" w:dyaOrig="320">
          <v:shape id="_x0000_i1027" type="#_x0000_t75" style="width:86pt;height:21.5pt" o:ole="">
            <v:imagedata r:id="rId7" o:title=""/>
          </v:shape>
          <o:OLEObject Type="Embed" ProgID="Equation.3" ShapeID="_x0000_i1027" DrawAspect="Content" ObjectID="_1410020973" r:id="rId8"/>
        </w:object>
      </w:r>
      <w:r w:rsidR="00407DC8" w:rsidRPr="00407DC8">
        <w:rPr>
          <w:rFonts w:ascii="Arial" w:hAnsi="Arial" w:cs="Arial"/>
          <w:szCs w:val="28"/>
        </w:rPr>
        <w:t xml:space="preserve">, </w:t>
      </w:r>
    </w:p>
    <w:p w:rsidR="00407DC8" w:rsidRDefault="00407DC8" w:rsidP="007D5FFF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r w:rsidRPr="00407DC8">
        <w:rPr>
          <w:rFonts w:ascii="Arial" w:hAnsi="Arial" w:cs="Arial"/>
          <w:szCs w:val="28"/>
        </w:rPr>
        <w:t>где</w:t>
      </w:r>
      <w:proofErr w:type="gramStart"/>
      <w:r w:rsidRPr="00407DC8">
        <w:rPr>
          <w:rFonts w:ascii="Arial" w:hAnsi="Arial" w:cs="Arial"/>
          <w:szCs w:val="28"/>
        </w:rPr>
        <w:t xml:space="preserve"> </w:t>
      </w:r>
      <w:r w:rsidRPr="00407DC8">
        <w:rPr>
          <w:rFonts w:ascii="Arial" w:hAnsi="Arial" w:cs="Arial"/>
          <w:i/>
          <w:szCs w:val="28"/>
        </w:rPr>
        <w:t>С</w:t>
      </w:r>
      <w:proofErr w:type="gramEnd"/>
      <w:r w:rsidRPr="00407DC8">
        <w:rPr>
          <w:rFonts w:ascii="Arial" w:hAnsi="Arial" w:cs="Arial"/>
          <w:i/>
          <w:szCs w:val="28"/>
        </w:rPr>
        <w:t>=</w:t>
      </w:r>
      <w:r w:rsidRPr="00407DC8">
        <w:rPr>
          <w:rFonts w:ascii="Arial" w:hAnsi="Arial" w:cs="Arial"/>
          <w:i/>
          <w:szCs w:val="28"/>
          <w:lang w:val="en-US"/>
        </w:rPr>
        <w:t>const</w:t>
      </w:r>
      <w:r w:rsidRPr="00407DC8">
        <w:rPr>
          <w:rFonts w:ascii="Arial" w:hAnsi="Arial" w:cs="Arial"/>
          <w:szCs w:val="28"/>
        </w:rPr>
        <w:t>.</w:t>
      </w:r>
    </w:p>
    <w:p w:rsidR="007D5FFF" w:rsidRPr="00407DC8" w:rsidRDefault="007D5FFF" w:rsidP="007D5FFF">
      <w:pPr>
        <w:tabs>
          <w:tab w:val="left" w:pos="142"/>
        </w:tabs>
        <w:ind w:firstLine="567"/>
        <w:jc w:val="center"/>
        <w:rPr>
          <w:rFonts w:ascii="Arial" w:hAnsi="Arial" w:cs="Arial"/>
          <w:szCs w:val="28"/>
        </w:rPr>
      </w:pPr>
    </w:p>
    <w:p w:rsidR="00407DC8" w:rsidRPr="00407DC8" w:rsidRDefault="00407DC8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proofErr w:type="gramStart"/>
      <w:r w:rsidRPr="00407DC8">
        <w:rPr>
          <w:rFonts w:ascii="Arial" w:hAnsi="Arial" w:cs="Arial"/>
          <w:szCs w:val="28"/>
        </w:rPr>
        <w:t xml:space="preserve">Это уравнение неявным образом задает ожидаемую доходность </w:t>
      </w:r>
      <w:r w:rsidRPr="00407DC8">
        <w:rPr>
          <w:rFonts w:ascii="Arial" w:hAnsi="Arial" w:cs="Arial"/>
          <w:i/>
          <w:szCs w:val="28"/>
          <w:lang w:val="en-US"/>
        </w:rPr>
        <w:t>m</w:t>
      </w:r>
      <w:r w:rsidRPr="00407DC8">
        <w:rPr>
          <w:rFonts w:ascii="Arial" w:hAnsi="Arial" w:cs="Arial"/>
          <w:szCs w:val="28"/>
        </w:rPr>
        <w:t xml:space="preserve"> как функцию риска </w:t>
      </w:r>
      <w:r w:rsidRPr="00570C8A">
        <w:rPr>
          <w:rFonts w:ascii="Arial" w:hAnsi="Arial" w:cs="Arial"/>
          <w:i/>
          <w:szCs w:val="28"/>
        </w:rPr>
        <w:t>σ</w:t>
      </w:r>
      <w:r w:rsidRPr="00407DC8">
        <w:rPr>
          <w:rFonts w:ascii="Arial" w:hAnsi="Arial" w:cs="Arial"/>
          <w:szCs w:val="28"/>
        </w:rPr>
        <w:t xml:space="preserve"> при фиксированной правой части </w:t>
      </w:r>
      <w:r w:rsidRPr="00407DC8">
        <w:rPr>
          <w:rFonts w:ascii="Arial" w:hAnsi="Arial" w:cs="Arial"/>
          <w:i/>
          <w:szCs w:val="28"/>
        </w:rPr>
        <w:t>С</w:t>
      </w:r>
      <w:r w:rsidRPr="00407DC8">
        <w:rPr>
          <w:rFonts w:ascii="Arial" w:hAnsi="Arial" w:cs="Arial"/>
          <w:szCs w:val="28"/>
        </w:rPr>
        <w:t xml:space="preserve">. Каждая кривая с фиксированным </w:t>
      </w:r>
      <w:r w:rsidRPr="00407DC8">
        <w:rPr>
          <w:rFonts w:ascii="Arial" w:hAnsi="Arial" w:cs="Arial"/>
          <w:i/>
          <w:szCs w:val="28"/>
        </w:rPr>
        <w:t>С</w:t>
      </w:r>
      <w:r w:rsidRPr="00407DC8">
        <w:rPr>
          <w:rFonts w:ascii="Arial" w:hAnsi="Arial" w:cs="Arial"/>
          <w:szCs w:val="28"/>
        </w:rPr>
        <w:t xml:space="preserve">  называется линией уровня и задает </w:t>
      </w:r>
      <w:proofErr w:type="spellStart"/>
      <w:r w:rsidRPr="00407DC8">
        <w:rPr>
          <w:rFonts w:ascii="Arial" w:hAnsi="Arial" w:cs="Arial"/>
          <w:szCs w:val="28"/>
        </w:rPr>
        <w:t>равнополезные</w:t>
      </w:r>
      <w:proofErr w:type="spellEnd"/>
      <w:r w:rsidRPr="00407DC8">
        <w:rPr>
          <w:rFonts w:ascii="Arial" w:hAnsi="Arial" w:cs="Arial"/>
          <w:szCs w:val="28"/>
        </w:rPr>
        <w:t xml:space="preserve"> для </w:t>
      </w:r>
      <w:r w:rsidR="00570C8A">
        <w:rPr>
          <w:rFonts w:ascii="Arial" w:hAnsi="Arial" w:cs="Arial"/>
          <w:szCs w:val="28"/>
        </w:rPr>
        <w:t xml:space="preserve">индивида </w:t>
      </w:r>
      <w:r w:rsidRPr="00407DC8">
        <w:rPr>
          <w:rFonts w:ascii="Arial" w:hAnsi="Arial" w:cs="Arial"/>
          <w:szCs w:val="28"/>
        </w:rPr>
        <w:t xml:space="preserve">комбинации альтернатив, поэтому их называют </w:t>
      </w:r>
      <w:r w:rsidRPr="00B93CCC">
        <w:rPr>
          <w:szCs w:val="28"/>
          <w:u w:val="single"/>
        </w:rPr>
        <w:t>кривыми безразличия</w:t>
      </w:r>
      <w:r w:rsidRPr="00407DC8">
        <w:rPr>
          <w:rFonts w:ascii="Arial" w:hAnsi="Arial" w:cs="Arial"/>
          <w:szCs w:val="28"/>
        </w:rPr>
        <w:t>.</w:t>
      </w:r>
      <w:proofErr w:type="gramEnd"/>
      <w:r w:rsidRPr="00407DC8">
        <w:rPr>
          <w:rFonts w:ascii="Arial" w:hAnsi="Arial" w:cs="Arial"/>
          <w:szCs w:val="28"/>
        </w:rPr>
        <w:t xml:space="preserve"> Варьируя </w:t>
      </w:r>
      <w:r w:rsidR="00C1107F">
        <w:rPr>
          <w:rFonts w:ascii="Arial" w:hAnsi="Arial" w:cs="Arial"/>
          <w:szCs w:val="28"/>
        </w:rPr>
        <w:t>значением правой части</w:t>
      </w:r>
      <w:proofErr w:type="gramStart"/>
      <w:r w:rsidR="00C1107F">
        <w:rPr>
          <w:rFonts w:ascii="Arial" w:hAnsi="Arial" w:cs="Arial"/>
          <w:szCs w:val="28"/>
        </w:rPr>
        <w:t xml:space="preserve"> </w:t>
      </w:r>
      <w:r w:rsidRPr="00407DC8">
        <w:rPr>
          <w:rFonts w:ascii="Arial" w:hAnsi="Arial" w:cs="Arial"/>
          <w:i/>
          <w:szCs w:val="28"/>
        </w:rPr>
        <w:t>С</w:t>
      </w:r>
      <w:proofErr w:type="gramEnd"/>
      <w:r w:rsidRPr="00407DC8">
        <w:rPr>
          <w:rFonts w:ascii="Arial" w:hAnsi="Arial" w:cs="Arial"/>
          <w:szCs w:val="28"/>
        </w:rPr>
        <w:t xml:space="preserve">, получаем семейство (карту) кривых безразличия. </w:t>
      </w:r>
    </w:p>
    <w:p w:rsidR="00407DC8" w:rsidRPr="00407DC8" w:rsidRDefault="00407DC8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</w:p>
    <w:p w:rsidR="00407DC8" w:rsidRPr="00407DC8" w:rsidRDefault="008F1CEA" w:rsidP="00A1414A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</w:r>
      <w:r>
        <w:rPr>
          <w:rFonts w:ascii="Arial" w:hAnsi="Arial" w:cs="Arial"/>
          <w:szCs w:val="28"/>
        </w:rPr>
        <w:pict>
          <v:group id="_x0000_s1026" editas="canvas" style="width:432.15pt;height:330.8pt;mso-position-horizontal-relative:char;mso-position-vertical-relative:line" coordorigin="1444,13569" coordsize="6013,4603">
            <o:lock v:ext="edit" aspectratio="t"/>
            <v:shape id="_x0000_s1027" type="#_x0000_t75" style="position:absolute;left:1444;top:13569;width:6013;height:4603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1625;top:17451;width:1274;height:1" o:connectortype="straight" strokecolor="black [3213]" strokeweight="1.5pt"/>
            <v:shape id="_x0000_s1029" type="#_x0000_t32" style="position:absolute;left:1609;top:16694;width:1290;height:2" o:connectortype="straight" strokecolor="black [3213]" strokeweight="1.5pt"/>
            <v:shape id="_x0000_s1030" type="#_x0000_t32" style="position:absolute;left:1625;top:17082;width:1274;height:1" o:connectortype="straight" strokecolor="black [3213]" strokeweight="1.5pt"/>
            <v:rect id="_x0000_s1031" style="position:absolute;left:2899;top:14227;width:426;height:368" strokecolor="white [3212]">
              <v:textbox style="mso-next-textbox:#_x0000_s1031">
                <w:txbxContent>
                  <w:p w:rsidR="00407DC8" w:rsidRPr="00B363C3" w:rsidRDefault="00407DC8" w:rsidP="00407DC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32" style="position:absolute;left:2615;top:13925;width:426;height:368" strokecolor="white [3212]">
              <v:textbox style="mso-next-textbox:#_x0000_s1032">
                <w:txbxContent>
                  <w:p w:rsidR="00407DC8" w:rsidRPr="00B363C3" w:rsidRDefault="00407DC8" w:rsidP="00407DC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33" style="position:absolute;left:2220;top:13699;width:395;height:355" strokecolor="white [3212]">
              <v:textbox style="mso-next-textbox:#_x0000_s1033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rect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4" type="#_x0000_t19" style="position:absolute;left:1699;top:13667;width:761;height:1173;rotation:5096236fd" strokecolor="black [3213]" strokeweight="1.5pt"/>
            <v:shape id="_x0000_s1035" type="#_x0000_t19" style="position:absolute;left:2269;top:14388;width:760;height:1173;rotation:5096236fd" strokecolor="black [3213]" strokeweight="1.5pt"/>
            <v:shape id="_x0000_s1036" type="#_x0000_t19" style="position:absolute;left:1932;top:14087;width:761;height:1173;rotation:5096236fd" strokecolor="black [3213]" strokeweight="1.5pt"/>
            <v:rect id="_x0000_s1037" style="position:absolute;left:4188;top:13925;width:395;height:355" strokecolor="white [3212]">
              <v:textbox style="mso-next-textbox:#_x0000_s1037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38" style="position:absolute;left:3889;top:14106;width:426;height:368" strokecolor="white [3212]">
              <v:textbox style="mso-next-textbox:#_x0000_s1038">
                <w:txbxContent>
                  <w:p w:rsidR="00407DC8" w:rsidRPr="00B363C3" w:rsidRDefault="00407DC8" w:rsidP="00407DC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39" style="position:absolute;left:3808;top:14474;width:426;height:368" strokecolor="white [3212]">
              <v:textbox style="mso-next-textbox:#_x0000_s1039">
                <w:txbxContent>
                  <w:p w:rsidR="00407DC8" w:rsidRPr="00B363C3" w:rsidRDefault="00407DC8" w:rsidP="00407DC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shape id="_x0000_s1040" type="#_x0000_t19" style="position:absolute;left:3808;top:14720;width:775;height:855" strokecolor="black [3213]" strokeweight="1.5pt"/>
            <v:shape id="_x0000_s1041" type="#_x0000_t19" style="position:absolute;left:4062;top:14405;width:775;height:855" strokecolor="black [3213]" strokeweight="1.5pt"/>
            <v:shape id="_x0000_s1042" type="#_x0000_t19" style="position:absolute;left:4315;top:14199;width:776;height:855" strokecolor="black [3213]" strokeweight="1.5pt"/>
            <v:rect id="_x0000_s1043" style="position:absolute;left:2899;top:16891;width:426;height:368" strokecolor="white [3212]">
              <v:textbox style="mso-next-textbox:#_x0000_s1043">
                <w:txbxContent>
                  <w:p w:rsidR="00407DC8" w:rsidRPr="00B363C3" w:rsidRDefault="00407DC8" w:rsidP="00407DC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44" style="position:absolute;left:2899;top:17259;width:426;height:368" strokecolor="white [3212]">
              <v:textbox style="mso-next-textbox:#_x0000_s1044">
                <w:txbxContent>
                  <w:p w:rsidR="00407DC8" w:rsidRPr="00B363C3" w:rsidRDefault="00407DC8" w:rsidP="00407DC8">
                    <w:pPr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45" style="position:absolute;left:2899;top:16536;width:394;height:355" strokecolor="white [3212]">
              <v:textbox style="mso-next-textbox:#_x0000_s1045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046" style="position:absolute;left:1444;top:15816;width:397;height:356" strokecolor="white [3212]">
              <v:textbox style="mso-next-textbox:#_x0000_s1046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rect id="_x0000_s1047" style="position:absolute;left:3096;top:17627;width:395;height:356" strokecolor="white [3212]">
              <v:textbox style="mso-next-textbox:#_x0000_s1047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σ</w:t>
                    </w:r>
                    <w:proofErr w:type="gramEnd"/>
                  </w:p>
                </w:txbxContent>
              </v:textbox>
            </v:rect>
            <v:rect id="_x0000_s1048" style="position:absolute;left:5256;top:15410;width:395;height:355" strokecolor="white [3212]">
              <v:textbox style="mso-next-textbox:#_x0000_s1048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σ</w:t>
                    </w:r>
                    <w:proofErr w:type="gramEnd"/>
                  </w:p>
                </w:txbxContent>
              </v:textbox>
            </v:rect>
            <v:rect id="_x0000_s1049" style="position:absolute;left:3007;top:15410;width:395;height:355" strokecolor="white [3212]">
              <v:textbox style="mso-next-textbox:#_x0000_s1049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σ</w:t>
                    </w:r>
                    <w:proofErr w:type="gramEnd"/>
                  </w:p>
                </w:txbxContent>
              </v:textbox>
            </v:rect>
            <v:rect id="_x0000_s1050" style="position:absolute;left:3574;top:13569;width:396;height:356" strokecolor="white [3212]">
              <v:textbox style="mso-next-textbox:#_x0000_s1050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rect id="_x0000_s1051" style="position:absolute;left:1444;top:13569;width:395;height:356" strokecolor="white [3212]">
              <v:textbox style="mso-next-textbox:#_x0000_s1051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shape id="_x0000_s1052" type="#_x0000_t32" style="position:absolute;left:1616;top:13873;width:9;height:1702;flip:y" o:connectortype="straight">
              <v:stroke endarrow="block"/>
            </v:shape>
            <v:shape id="_x0000_s1053" type="#_x0000_t32" style="position:absolute;left:1625;top:15577;width:1471;height:1" o:connectortype="straight">
              <v:stroke endarrow="block"/>
            </v:shape>
            <v:shape id="_x0000_s1054" type="#_x0000_t32" style="position:absolute;left:3761;top:13873;width:1;height:1703;flip:y" o:connectortype="straight">
              <v:stroke endarrow="block"/>
            </v:shape>
            <v:shape id="_x0000_s1055" type="#_x0000_t32" style="position:absolute;left:3761;top:15578;width:1571;height:1" o:connectortype="straight">
              <v:stroke endarrow="block"/>
            </v:shape>
            <v:shape id="_x0000_s1056" type="#_x0000_t32" style="position:absolute;left:1612;top:16094;width:2;height:1703;flip:y" o:connectortype="straight">
              <v:stroke endarrow="block"/>
            </v:shape>
            <v:shape id="_x0000_s1057" type="#_x0000_t32" style="position:absolute;left:4188;top:16486;width:1;height:1315;flip:y" o:connectortype="straight" strokecolor="black [3213]" strokeweight="1.5pt"/>
            <v:shape id="_x0000_s1058" type="#_x0000_t32" style="position:absolute;left:4583;top:16486;width:1;height:1315;flip:y" o:connectortype="straight" strokecolor="black [3213]" strokeweight="1.5pt"/>
            <v:shape id="_x0000_s1059" type="#_x0000_t32" style="position:absolute;left:4991;top:16486;width:1;height:1315;flip:y" o:connectortype="straight" strokecolor="black [3213]" strokeweight="1.5pt"/>
            <v:rect id="_x0000_s1060" style="position:absolute;left:5332;top:17628;width:396;height:355" strokecolor="white [3212]">
              <v:textbox style="mso-next-textbox:#_x0000_s1060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σ</w:t>
                    </w:r>
                    <w:proofErr w:type="gramEnd"/>
                  </w:p>
                </w:txbxContent>
              </v:textbox>
            </v:rect>
            <v:rect id="_x0000_s1061" style="position:absolute;left:3573;top:15816;width:397;height:356" strokecolor="white [3212]">
              <v:textbox style="mso-next-textbox:#_x0000_s1061">
                <w:txbxContent>
                  <w:p w:rsidR="00407DC8" w:rsidRPr="00B363C3" w:rsidRDefault="00407DC8" w:rsidP="00407DC8">
                    <w:pPr>
                      <w:ind w:left="-142" w:right="-168" w:firstLine="142"/>
                      <w:rPr>
                        <w:vertAlign w:val="subscript"/>
                        <w:lang w:val="en-US"/>
                      </w:rPr>
                    </w:pPr>
                    <w:proofErr w:type="gramStart"/>
                    <w:r>
                      <w:rPr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shape id="_x0000_s1062" type="#_x0000_t32" style="position:absolute;left:3759;top:16095;width:2;height:1703;flip:y" o:connectortype="straight">
              <v:stroke endarrow="block"/>
            </v:shape>
            <v:rect id="_x0000_s1063" style="position:absolute;left:4837;top:16118;width:425;height:368" strokecolor="white [3212]">
              <v:textbox style="mso-next-textbox:#_x0000_s1063">
                <w:txbxContent>
                  <w:p w:rsidR="00407DC8" w:rsidRPr="00971280" w:rsidRDefault="00407DC8" w:rsidP="00407DC8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1064" style="position:absolute;left:3970;top:16130;width:394;height:356" strokecolor="white [3212]">
              <v:textbox style="mso-next-textbox:#_x0000_s1064">
                <w:txbxContent>
                  <w:p w:rsidR="00407DC8" w:rsidRPr="00971280" w:rsidRDefault="00407DC8" w:rsidP="00407DC8">
                    <w:pPr>
                      <w:ind w:left="-142" w:right="-168" w:firstLine="142"/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065" style="position:absolute;left:4411;top:16130;width:426;height:368" strokecolor="white [3212]">
              <v:textbox style="mso-next-textbox:#_x0000_s1065">
                <w:txbxContent>
                  <w:p w:rsidR="00407DC8" w:rsidRPr="00971280" w:rsidRDefault="00407DC8" w:rsidP="00407DC8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U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rect>
            <v:rect id="_x0000_s1066" style="position:absolute;left:2111;top:15626;width:425;height:369" strokecolor="white [3212]">
              <v:textbox style="mso-next-textbox:#_x0000_s1066">
                <w:txbxContent>
                  <w:p w:rsidR="00407DC8" w:rsidRPr="003B0123" w:rsidRDefault="00407DC8" w:rsidP="00407DC8">
                    <w:pPr>
                      <w:rPr>
                        <w:vertAlign w:val="subscript"/>
                      </w:rPr>
                    </w:pPr>
                    <w:r>
                      <w:t>а)</w:t>
                    </w:r>
                  </w:p>
                </w:txbxContent>
              </v:textbox>
            </v:rect>
            <v:rect id="_x0000_s1067" style="position:absolute;left:4413;top:15626;width:424;height:367" strokecolor="white [3212]">
              <v:textbox style="mso-next-textbox:#_x0000_s1067">
                <w:txbxContent>
                  <w:p w:rsidR="00407DC8" w:rsidRPr="003B0123" w:rsidRDefault="002A7ECD" w:rsidP="00407DC8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b</w:t>
                    </w:r>
                    <w:r w:rsidR="00407DC8">
                      <w:t>)</w:t>
                    </w:r>
                  </w:p>
                </w:txbxContent>
              </v:textbox>
            </v:rect>
            <v:rect id="_x0000_s1068" style="position:absolute;left:2062;top:17805;width:424;height:367" strokecolor="white [3212]">
              <v:textbox style="mso-next-textbox:#_x0000_s1068">
                <w:txbxContent>
                  <w:p w:rsidR="00407DC8" w:rsidRPr="003B0123" w:rsidRDefault="00407DC8" w:rsidP="00407DC8">
                    <w:pPr>
                      <w:rPr>
                        <w:vertAlign w:val="subscript"/>
                      </w:rPr>
                    </w:pPr>
                    <w:r>
                      <w:t>с)</w:t>
                    </w:r>
                  </w:p>
                </w:txbxContent>
              </v:textbox>
            </v:rect>
            <v:rect id="_x0000_s1069" style="position:absolute;left:4364;top:17805;width:425;height:367" strokecolor="white [3212]">
              <v:textbox style="mso-next-textbox:#_x0000_s1069">
                <w:txbxContent>
                  <w:p w:rsidR="00407DC8" w:rsidRPr="003B0123" w:rsidRDefault="002A7ECD" w:rsidP="00407DC8">
                    <w:pPr>
                      <w:rPr>
                        <w:vertAlign w:val="subscript"/>
                      </w:rPr>
                    </w:pPr>
                    <w:r>
                      <w:rPr>
                        <w:lang w:val="en-US"/>
                      </w:rPr>
                      <w:t>d</w:t>
                    </w:r>
                    <w:r w:rsidR="00407DC8">
                      <w:t>)</w:t>
                    </w:r>
                  </w:p>
                </w:txbxContent>
              </v:textbox>
            </v:rect>
            <v:shape id="_x0000_s1070" type="#_x0000_t32" style="position:absolute;left:3767;top:17797;width:1565;height:3;flip:y" o:connectortype="straight">
              <v:stroke endarrow="block"/>
            </v:shape>
            <v:shape id="_x0000_s1071" type="#_x0000_t32" style="position:absolute;left:1616;top:17797;width:1480;height:1" o:connectortype="straight">
              <v:stroke endarrow="block"/>
            </v:shape>
            <v:rect id="_x0000_s1072" style="position:absolute;left:5854;top:15726;width:1603;height:368" strokecolor="white [3212]">
              <v:textbox style="mso-next-textbox:#_x0000_s1072">
                <w:txbxContent>
                  <w:p w:rsidR="00407DC8" w:rsidRPr="00DB7F4F" w:rsidRDefault="00407DC8" w:rsidP="00407DC8">
                    <w:pPr>
                      <w:tabs>
                        <w:tab w:val="left" w:pos="142"/>
                      </w:tabs>
                      <w:jc w:val="center"/>
                      <w:rPr>
                        <w:b/>
                        <w:i/>
                        <w:szCs w:val="28"/>
                        <w:vertAlign w:val="subscript"/>
                      </w:rPr>
                    </w:pPr>
                    <w:r w:rsidRPr="00DB7F4F">
                      <w:rPr>
                        <w:b/>
                        <w:i/>
                        <w:szCs w:val="28"/>
                        <w:lang w:val="en-US"/>
                      </w:rPr>
                      <w:t>U</w:t>
                    </w:r>
                    <w:r w:rsidRPr="00DB7F4F">
                      <w:rPr>
                        <w:b/>
                        <w:i/>
                        <w:szCs w:val="28"/>
                        <w:vertAlign w:val="subscript"/>
                      </w:rPr>
                      <w:t>1</w:t>
                    </w:r>
                    <w:r w:rsidRPr="00DB7F4F">
                      <w:rPr>
                        <w:b/>
                        <w:i/>
                        <w:szCs w:val="28"/>
                      </w:rPr>
                      <w:t>&lt;</w:t>
                    </w:r>
                    <w:r w:rsidRPr="00DB7F4F">
                      <w:rPr>
                        <w:b/>
                        <w:i/>
                        <w:szCs w:val="28"/>
                        <w:lang w:val="en-US"/>
                      </w:rPr>
                      <w:t>U</w:t>
                    </w:r>
                    <w:r w:rsidRPr="00DB7F4F">
                      <w:rPr>
                        <w:b/>
                        <w:i/>
                        <w:szCs w:val="28"/>
                        <w:vertAlign w:val="subscript"/>
                      </w:rPr>
                      <w:t>2</w:t>
                    </w:r>
                    <w:r w:rsidRPr="00DB7F4F">
                      <w:rPr>
                        <w:b/>
                        <w:i/>
                        <w:szCs w:val="28"/>
                      </w:rPr>
                      <w:t>&lt;…</w:t>
                    </w:r>
                    <w:proofErr w:type="gramStart"/>
                    <w:r w:rsidRPr="00DB7F4F">
                      <w:rPr>
                        <w:b/>
                        <w:i/>
                        <w:szCs w:val="28"/>
                      </w:rPr>
                      <w:t>.&lt;</w:t>
                    </w:r>
                    <w:proofErr w:type="gramEnd"/>
                    <w:r w:rsidRPr="00DB7F4F">
                      <w:rPr>
                        <w:b/>
                        <w:i/>
                        <w:szCs w:val="28"/>
                        <w:lang w:val="en-US"/>
                      </w:rPr>
                      <w:t>U</w:t>
                    </w:r>
                    <w:r w:rsidRPr="00DB7F4F">
                      <w:rPr>
                        <w:b/>
                        <w:i/>
                        <w:szCs w:val="28"/>
                        <w:vertAlign w:val="subscript"/>
                        <w:lang w:val="en-US"/>
                      </w:rPr>
                      <w:t>n</w:t>
                    </w:r>
                  </w:p>
                  <w:p w:rsidR="00407DC8" w:rsidRPr="003B0123" w:rsidRDefault="00407DC8" w:rsidP="00407DC8"/>
                </w:txbxContent>
              </v:textbox>
            </v:rect>
            <w10:wrap type="none"/>
            <w10:anchorlock/>
          </v:group>
        </w:pict>
      </w:r>
    </w:p>
    <w:p w:rsidR="001E0F9B" w:rsidRDefault="001E0F9B" w:rsidP="001E0F9B">
      <w:pPr>
        <w:tabs>
          <w:tab w:val="left" w:pos="142"/>
        </w:tabs>
        <w:ind w:firstLine="567"/>
        <w:jc w:val="center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Рисунок 3.1</w:t>
      </w:r>
    </w:p>
    <w:p w:rsidR="00407DC8" w:rsidRPr="00407DC8" w:rsidRDefault="00407DC8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r w:rsidRPr="00407DC8">
        <w:rPr>
          <w:rFonts w:ascii="Arial" w:hAnsi="Arial" w:cs="Arial"/>
          <w:szCs w:val="28"/>
        </w:rPr>
        <w:lastRenderedPageBreak/>
        <w:t>Характер кривых безразличия</w:t>
      </w:r>
      <w:r w:rsidR="007B26E5">
        <w:rPr>
          <w:rFonts w:ascii="Arial" w:hAnsi="Arial" w:cs="Arial"/>
          <w:szCs w:val="28"/>
        </w:rPr>
        <w:t xml:space="preserve">, представленных на рисунке </w:t>
      </w:r>
      <w:r w:rsidRPr="00407DC8">
        <w:rPr>
          <w:rFonts w:ascii="Arial" w:hAnsi="Arial" w:cs="Arial"/>
          <w:szCs w:val="28"/>
        </w:rPr>
        <w:t xml:space="preserve"> </w:t>
      </w:r>
      <w:r w:rsidR="001E0F9B">
        <w:rPr>
          <w:rFonts w:ascii="Arial" w:hAnsi="Arial" w:cs="Arial"/>
          <w:szCs w:val="28"/>
        </w:rPr>
        <w:t>3.1</w:t>
      </w:r>
      <w:r w:rsidR="00A1414A">
        <w:rPr>
          <w:rFonts w:ascii="Arial" w:hAnsi="Arial" w:cs="Arial"/>
          <w:szCs w:val="28"/>
        </w:rPr>
        <w:t>,</w:t>
      </w:r>
      <w:r w:rsidR="001E0F9B">
        <w:rPr>
          <w:rFonts w:ascii="Arial" w:hAnsi="Arial" w:cs="Arial"/>
          <w:szCs w:val="28"/>
        </w:rPr>
        <w:t xml:space="preserve"> </w:t>
      </w:r>
      <w:r w:rsidRPr="00407DC8">
        <w:rPr>
          <w:rFonts w:ascii="Arial" w:hAnsi="Arial" w:cs="Arial"/>
          <w:szCs w:val="28"/>
        </w:rPr>
        <w:t>отражает разные модели восприятия риск</w:t>
      </w:r>
      <w:r w:rsidR="001E0F9B">
        <w:rPr>
          <w:rFonts w:ascii="Arial" w:hAnsi="Arial" w:cs="Arial"/>
          <w:szCs w:val="28"/>
        </w:rPr>
        <w:t>а</w:t>
      </w:r>
      <w:r w:rsidRPr="00407DC8">
        <w:rPr>
          <w:rFonts w:ascii="Arial" w:hAnsi="Arial" w:cs="Arial"/>
          <w:szCs w:val="28"/>
        </w:rPr>
        <w:t>:</w:t>
      </w:r>
    </w:p>
    <w:p w:rsidR="00407DC8" w:rsidRPr="00407DC8" w:rsidRDefault="00407DC8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r w:rsidRPr="00407DC8">
        <w:rPr>
          <w:rFonts w:ascii="Arial" w:hAnsi="Arial" w:cs="Arial"/>
          <w:szCs w:val="28"/>
        </w:rPr>
        <w:t xml:space="preserve">а) </w:t>
      </w:r>
      <w:proofErr w:type="gramStart"/>
      <w:r w:rsidR="00172160">
        <w:rPr>
          <w:rFonts w:ascii="Arial" w:hAnsi="Arial" w:cs="Arial"/>
          <w:szCs w:val="28"/>
        </w:rPr>
        <w:t>индивид не</w:t>
      </w:r>
      <w:r w:rsidRPr="00407DC8">
        <w:rPr>
          <w:rFonts w:ascii="Arial" w:hAnsi="Arial" w:cs="Arial"/>
          <w:szCs w:val="28"/>
        </w:rPr>
        <w:t>склонен</w:t>
      </w:r>
      <w:proofErr w:type="gramEnd"/>
      <w:r w:rsidRPr="00407DC8">
        <w:rPr>
          <w:rFonts w:ascii="Arial" w:hAnsi="Arial" w:cs="Arial"/>
          <w:szCs w:val="28"/>
        </w:rPr>
        <w:t xml:space="preserve"> к риску, при равном уровне ожидаемой доходности выбирает ту альтернативу, которая имеет меньший риск;</w:t>
      </w:r>
    </w:p>
    <w:p w:rsidR="00407DC8" w:rsidRPr="00407DC8" w:rsidRDefault="002A7ECD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lang w:val="en-US"/>
        </w:rPr>
        <w:t>b</w:t>
      </w:r>
      <w:r w:rsidR="00407DC8" w:rsidRPr="00407DC8">
        <w:rPr>
          <w:rFonts w:ascii="Arial" w:hAnsi="Arial" w:cs="Arial"/>
          <w:szCs w:val="28"/>
        </w:rPr>
        <w:t xml:space="preserve">)  </w:t>
      </w:r>
      <w:proofErr w:type="gramStart"/>
      <w:r w:rsidR="00172160">
        <w:rPr>
          <w:rFonts w:ascii="Arial" w:hAnsi="Arial" w:cs="Arial"/>
          <w:szCs w:val="28"/>
        </w:rPr>
        <w:t>индивид</w:t>
      </w:r>
      <w:proofErr w:type="gramEnd"/>
      <w:r w:rsidR="00407DC8" w:rsidRPr="00407DC8">
        <w:rPr>
          <w:rFonts w:ascii="Arial" w:hAnsi="Arial" w:cs="Arial"/>
          <w:szCs w:val="28"/>
        </w:rPr>
        <w:t xml:space="preserve"> склонен к риску, при равном уровне ожидаемой доходности выбирает ту альтернативу, которая имеет больший риск;</w:t>
      </w:r>
    </w:p>
    <w:p w:rsidR="00407DC8" w:rsidRPr="00407DC8" w:rsidRDefault="00407DC8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r w:rsidRPr="00407DC8">
        <w:rPr>
          <w:rFonts w:ascii="Arial" w:hAnsi="Arial" w:cs="Arial"/>
          <w:szCs w:val="28"/>
        </w:rPr>
        <w:t xml:space="preserve">с) </w:t>
      </w:r>
      <w:r w:rsidR="00172160">
        <w:rPr>
          <w:rFonts w:ascii="Arial" w:hAnsi="Arial" w:cs="Arial"/>
          <w:szCs w:val="28"/>
        </w:rPr>
        <w:t xml:space="preserve">индивид </w:t>
      </w:r>
      <w:r w:rsidRPr="00407DC8">
        <w:rPr>
          <w:rFonts w:ascii="Arial" w:hAnsi="Arial" w:cs="Arial"/>
          <w:szCs w:val="28"/>
        </w:rPr>
        <w:t>«бесконечно» безразличен к риску, не требует дополнительной ожидаемой доходности для принятия на себя дополнительного риска;</w:t>
      </w:r>
    </w:p>
    <w:p w:rsidR="00407DC8" w:rsidRPr="00407DC8" w:rsidRDefault="002A7ECD" w:rsidP="00407DC8">
      <w:pPr>
        <w:tabs>
          <w:tab w:val="left" w:pos="142"/>
        </w:tabs>
        <w:ind w:firstLine="567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  <w:lang w:val="en-US"/>
        </w:rPr>
        <w:t>d</w:t>
      </w:r>
      <w:r w:rsidR="00DB7F4F">
        <w:rPr>
          <w:rFonts w:ascii="Arial" w:hAnsi="Arial" w:cs="Arial"/>
          <w:szCs w:val="28"/>
        </w:rPr>
        <w:t xml:space="preserve">) </w:t>
      </w:r>
      <w:proofErr w:type="gramStart"/>
      <w:r w:rsidR="00DB7F4F">
        <w:rPr>
          <w:rFonts w:ascii="Arial" w:hAnsi="Arial" w:cs="Arial"/>
          <w:szCs w:val="28"/>
        </w:rPr>
        <w:t>индивид</w:t>
      </w:r>
      <w:proofErr w:type="gramEnd"/>
      <w:r w:rsidR="00DB7F4F">
        <w:rPr>
          <w:rFonts w:ascii="Arial" w:hAnsi="Arial" w:cs="Arial"/>
          <w:szCs w:val="28"/>
        </w:rPr>
        <w:t xml:space="preserve"> «бесконечно» не</w:t>
      </w:r>
      <w:r w:rsidR="00407DC8" w:rsidRPr="00407DC8">
        <w:rPr>
          <w:rFonts w:ascii="Arial" w:hAnsi="Arial" w:cs="Arial"/>
          <w:szCs w:val="28"/>
        </w:rPr>
        <w:t>склонен к риску, готов идти на дополнительный риск лишь в случае вознаграждения бесконечно большой дополнительной ожидаемой доходностью.</w:t>
      </w:r>
    </w:p>
    <w:p w:rsidR="002C3F36" w:rsidRPr="00870265" w:rsidRDefault="002C3F36" w:rsidP="002550E4">
      <w:pPr>
        <w:pStyle w:val="a3"/>
        <w:tabs>
          <w:tab w:val="left" w:pos="142"/>
        </w:tabs>
        <w:ind w:left="0" w:right="-1" w:firstLine="567"/>
        <w:rPr>
          <w:szCs w:val="28"/>
        </w:rPr>
      </w:pPr>
    </w:p>
    <w:p w:rsidR="00167AE6" w:rsidRDefault="00167AE6" w:rsidP="002550E4">
      <w:pPr>
        <w:ind w:right="-1" w:firstLine="567"/>
        <w:rPr>
          <w:rFonts w:ascii="Arial" w:hAnsi="Arial" w:cs="Arial"/>
          <w:szCs w:val="28"/>
        </w:rPr>
      </w:pPr>
    </w:p>
    <w:p w:rsidR="006A557A" w:rsidRDefault="006A557A" w:rsidP="002C3F36">
      <w:pPr>
        <w:tabs>
          <w:tab w:val="left" w:pos="284"/>
          <w:tab w:val="left" w:pos="426"/>
        </w:tabs>
        <w:autoSpaceDE w:val="0"/>
        <w:autoSpaceDN w:val="0"/>
        <w:adjustRightInd w:val="0"/>
        <w:ind w:left="851" w:right="-1" w:hanging="284"/>
        <w:rPr>
          <w:rFonts w:ascii="Arial" w:hAnsi="Arial" w:cs="Arial"/>
          <w:szCs w:val="28"/>
          <w:lang w:eastAsia="en-US"/>
        </w:rPr>
      </w:pPr>
      <w:r w:rsidRPr="006A557A">
        <w:rPr>
          <w:rFonts w:ascii="Arial" w:hAnsi="Arial" w:cs="Arial"/>
          <w:szCs w:val="28"/>
          <w:lang w:eastAsia="en-US"/>
        </w:rPr>
        <w:t>Литература</w:t>
      </w:r>
    </w:p>
    <w:p w:rsidR="006A557A" w:rsidRPr="006A557A" w:rsidRDefault="006A557A" w:rsidP="002C3F36">
      <w:pPr>
        <w:pStyle w:val="a3"/>
        <w:numPr>
          <w:ilvl w:val="0"/>
          <w:numId w:val="10"/>
        </w:numPr>
        <w:tabs>
          <w:tab w:val="left" w:pos="567"/>
        </w:tabs>
        <w:ind w:left="567" w:hanging="567"/>
        <w:rPr>
          <w:rFonts w:ascii="Arial" w:hAnsi="Arial" w:cs="Arial"/>
          <w:szCs w:val="28"/>
        </w:rPr>
      </w:pPr>
      <w:r w:rsidRPr="006A557A">
        <w:rPr>
          <w:rFonts w:ascii="Arial" w:hAnsi="Arial" w:cs="Arial"/>
          <w:bCs/>
          <w:szCs w:val="28"/>
        </w:rPr>
        <w:t xml:space="preserve">Энциклопедия финансового риск-менеджмента </w:t>
      </w:r>
      <w:r w:rsidRPr="006A557A">
        <w:rPr>
          <w:rFonts w:ascii="Arial" w:hAnsi="Arial" w:cs="Arial"/>
          <w:szCs w:val="28"/>
        </w:rPr>
        <w:t>[Текст]</w:t>
      </w:r>
      <w:proofErr w:type="gramStart"/>
      <w:r w:rsidRPr="006A557A">
        <w:rPr>
          <w:rFonts w:ascii="Arial" w:hAnsi="Arial" w:cs="Arial"/>
          <w:szCs w:val="28"/>
        </w:rPr>
        <w:t xml:space="preserve"> </w:t>
      </w:r>
      <w:r w:rsidRPr="006A557A">
        <w:rPr>
          <w:rFonts w:ascii="Arial" w:hAnsi="Arial" w:cs="Arial"/>
          <w:bCs/>
          <w:szCs w:val="28"/>
        </w:rPr>
        <w:t>:</w:t>
      </w:r>
      <w:proofErr w:type="gramEnd"/>
      <w:r w:rsidRPr="006A557A">
        <w:rPr>
          <w:rFonts w:ascii="Arial" w:hAnsi="Arial" w:cs="Arial"/>
          <w:bCs/>
          <w:szCs w:val="28"/>
        </w:rPr>
        <w:t xml:space="preserve"> энциклопедия</w:t>
      </w:r>
      <w:r w:rsidRPr="006A557A">
        <w:rPr>
          <w:rFonts w:ascii="Arial" w:hAnsi="Arial" w:cs="Arial"/>
          <w:szCs w:val="28"/>
        </w:rPr>
        <w:t xml:space="preserve"> / под ред. А.А. Лобанова, А.В. Чугунова. – 4-е изд., </w:t>
      </w:r>
      <w:proofErr w:type="spellStart"/>
      <w:r w:rsidRPr="006A557A">
        <w:rPr>
          <w:rFonts w:ascii="Arial" w:hAnsi="Arial" w:cs="Arial"/>
          <w:szCs w:val="28"/>
        </w:rPr>
        <w:t>испр</w:t>
      </w:r>
      <w:proofErr w:type="spellEnd"/>
      <w:r w:rsidRPr="006A557A">
        <w:rPr>
          <w:rFonts w:ascii="Arial" w:hAnsi="Arial" w:cs="Arial"/>
          <w:szCs w:val="28"/>
        </w:rPr>
        <w:t xml:space="preserve">. и доп. – М. : </w:t>
      </w:r>
      <w:proofErr w:type="spellStart"/>
      <w:r w:rsidRPr="006A557A">
        <w:rPr>
          <w:rFonts w:ascii="Arial" w:hAnsi="Arial" w:cs="Arial"/>
          <w:szCs w:val="28"/>
        </w:rPr>
        <w:t>Альпина</w:t>
      </w:r>
      <w:proofErr w:type="spellEnd"/>
      <w:r w:rsidRPr="006A557A">
        <w:rPr>
          <w:rFonts w:ascii="Arial" w:hAnsi="Arial" w:cs="Arial"/>
          <w:szCs w:val="28"/>
        </w:rPr>
        <w:t xml:space="preserve"> Бизнес Букс, 2009. – 931 с.  </w:t>
      </w:r>
    </w:p>
    <w:p w:rsidR="000B6249" w:rsidRPr="002550E4" w:rsidRDefault="000B6249" w:rsidP="002550E4">
      <w:pPr>
        <w:ind w:right="-1" w:firstLine="567"/>
        <w:rPr>
          <w:rFonts w:ascii="Arial" w:hAnsi="Arial" w:cs="Arial"/>
          <w:szCs w:val="28"/>
        </w:rPr>
      </w:pPr>
    </w:p>
    <w:sectPr w:rsidR="000B6249" w:rsidRPr="002550E4" w:rsidSect="00992590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09F1"/>
    <w:multiLevelType w:val="hybridMultilevel"/>
    <w:tmpl w:val="34FC13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7E74E2"/>
    <w:multiLevelType w:val="hybridMultilevel"/>
    <w:tmpl w:val="944CC622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FD05D3"/>
    <w:multiLevelType w:val="hybridMultilevel"/>
    <w:tmpl w:val="866EBFFC"/>
    <w:lvl w:ilvl="0" w:tplc="D2C0C728">
      <w:start w:val="1"/>
      <w:numFmt w:val="bullet"/>
      <w:lvlText w:val=""/>
      <w:lvlJc w:val="left"/>
      <w:pPr>
        <w:ind w:left="1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3">
    <w:nsid w:val="2321594A"/>
    <w:multiLevelType w:val="hybridMultilevel"/>
    <w:tmpl w:val="4CCED9C8"/>
    <w:lvl w:ilvl="0" w:tplc="9404D2C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EEE0DC0"/>
    <w:multiLevelType w:val="hybridMultilevel"/>
    <w:tmpl w:val="6EDA0F84"/>
    <w:lvl w:ilvl="0" w:tplc="333CD828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>
    <w:nsid w:val="31F83ACC"/>
    <w:multiLevelType w:val="multilevel"/>
    <w:tmpl w:val="E47636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6">
    <w:nsid w:val="4DF73535"/>
    <w:multiLevelType w:val="hybridMultilevel"/>
    <w:tmpl w:val="84762AC2"/>
    <w:lvl w:ilvl="0" w:tplc="0B447D98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CF54CDB"/>
    <w:multiLevelType w:val="hybridMultilevel"/>
    <w:tmpl w:val="60BC8620"/>
    <w:lvl w:ilvl="0" w:tplc="523429DC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8">
    <w:nsid w:val="715E6C4C"/>
    <w:multiLevelType w:val="hybridMultilevel"/>
    <w:tmpl w:val="164E1EA2"/>
    <w:lvl w:ilvl="0" w:tplc="B7E43CD2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90834"/>
    <w:multiLevelType w:val="hybridMultilevel"/>
    <w:tmpl w:val="ECD44AAE"/>
    <w:lvl w:ilvl="0" w:tplc="523429DC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92590"/>
    <w:rsid w:val="00000758"/>
    <w:rsid w:val="000010AC"/>
    <w:rsid w:val="000031A5"/>
    <w:rsid w:val="000054F2"/>
    <w:rsid w:val="0000598C"/>
    <w:rsid w:val="000062DD"/>
    <w:rsid w:val="00010A5D"/>
    <w:rsid w:val="0001347C"/>
    <w:rsid w:val="000137B5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468FC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05D9"/>
    <w:rsid w:val="00090FA1"/>
    <w:rsid w:val="000922CA"/>
    <w:rsid w:val="000953F3"/>
    <w:rsid w:val="000A3C6E"/>
    <w:rsid w:val="000A6487"/>
    <w:rsid w:val="000A667A"/>
    <w:rsid w:val="000A712B"/>
    <w:rsid w:val="000B5733"/>
    <w:rsid w:val="000B5DD2"/>
    <w:rsid w:val="000B6249"/>
    <w:rsid w:val="000C088A"/>
    <w:rsid w:val="000C0CCC"/>
    <w:rsid w:val="000C1876"/>
    <w:rsid w:val="000C2E33"/>
    <w:rsid w:val="000D430E"/>
    <w:rsid w:val="000D4E76"/>
    <w:rsid w:val="000D505E"/>
    <w:rsid w:val="000E2933"/>
    <w:rsid w:val="000E5886"/>
    <w:rsid w:val="000F2D60"/>
    <w:rsid w:val="001003F5"/>
    <w:rsid w:val="0010054E"/>
    <w:rsid w:val="00102ADE"/>
    <w:rsid w:val="00104A59"/>
    <w:rsid w:val="00107CE1"/>
    <w:rsid w:val="00111E23"/>
    <w:rsid w:val="00117C4A"/>
    <w:rsid w:val="00134990"/>
    <w:rsid w:val="00135072"/>
    <w:rsid w:val="00143863"/>
    <w:rsid w:val="00151CE0"/>
    <w:rsid w:val="00154436"/>
    <w:rsid w:val="0016699E"/>
    <w:rsid w:val="001669AD"/>
    <w:rsid w:val="00166F73"/>
    <w:rsid w:val="00167AE6"/>
    <w:rsid w:val="00171841"/>
    <w:rsid w:val="00171BA2"/>
    <w:rsid w:val="00172160"/>
    <w:rsid w:val="00174D8A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A7FA5"/>
    <w:rsid w:val="001B0A1E"/>
    <w:rsid w:val="001B0A84"/>
    <w:rsid w:val="001B0DDF"/>
    <w:rsid w:val="001B2DB2"/>
    <w:rsid w:val="001B3160"/>
    <w:rsid w:val="001B6A79"/>
    <w:rsid w:val="001C26B3"/>
    <w:rsid w:val="001C3113"/>
    <w:rsid w:val="001C386F"/>
    <w:rsid w:val="001E0F9B"/>
    <w:rsid w:val="001E40E6"/>
    <w:rsid w:val="001E41F0"/>
    <w:rsid w:val="001E5199"/>
    <w:rsid w:val="001E63B9"/>
    <w:rsid w:val="001F50DC"/>
    <w:rsid w:val="001F5C83"/>
    <w:rsid w:val="001F6187"/>
    <w:rsid w:val="002165FA"/>
    <w:rsid w:val="00216F25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45D1"/>
    <w:rsid w:val="002550E4"/>
    <w:rsid w:val="0025643F"/>
    <w:rsid w:val="0025677E"/>
    <w:rsid w:val="002658A9"/>
    <w:rsid w:val="0026791F"/>
    <w:rsid w:val="00285027"/>
    <w:rsid w:val="00287B29"/>
    <w:rsid w:val="002909DD"/>
    <w:rsid w:val="0029324A"/>
    <w:rsid w:val="00294B26"/>
    <w:rsid w:val="002A2DB3"/>
    <w:rsid w:val="002A7E18"/>
    <w:rsid w:val="002A7ECD"/>
    <w:rsid w:val="002C3F36"/>
    <w:rsid w:val="002C6E5E"/>
    <w:rsid w:val="002D032F"/>
    <w:rsid w:val="002D6408"/>
    <w:rsid w:val="002D78B6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78E0"/>
    <w:rsid w:val="00326357"/>
    <w:rsid w:val="00333BE4"/>
    <w:rsid w:val="00344F1C"/>
    <w:rsid w:val="003561A2"/>
    <w:rsid w:val="00360114"/>
    <w:rsid w:val="00361D8A"/>
    <w:rsid w:val="003620D2"/>
    <w:rsid w:val="003719F7"/>
    <w:rsid w:val="003727DD"/>
    <w:rsid w:val="00377FCA"/>
    <w:rsid w:val="00384830"/>
    <w:rsid w:val="00386F5F"/>
    <w:rsid w:val="003914E8"/>
    <w:rsid w:val="00391D43"/>
    <w:rsid w:val="003A1BAD"/>
    <w:rsid w:val="003A36E2"/>
    <w:rsid w:val="003B7242"/>
    <w:rsid w:val="003B73A9"/>
    <w:rsid w:val="003C0135"/>
    <w:rsid w:val="003C2A25"/>
    <w:rsid w:val="003C6FEB"/>
    <w:rsid w:val="003D4701"/>
    <w:rsid w:val="003D61DB"/>
    <w:rsid w:val="003D75B5"/>
    <w:rsid w:val="003D7B70"/>
    <w:rsid w:val="003E4733"/>
    <w:rsid w:val="003E4C4A"/>
    <w:rsid w:val="003E5868"/>
    <w:rsid w:val="003F2CCE"/>
    <w:rsid w:val="003F6F2E"/>
    <w:rsid w:val="003F6FE0"/>
    <w:rsid w:val="003F71E6"/>
    <w:rsid w:val="00401A5E"/>
    <w:rsid w:val="004064D1"/>
    <w:rsid w:val="00407DC8"/>
    <w:rsid w:val="00407ED0"/>
    <w:rsid w:val="0041020D"/>
    <w:rsid w:val="004128A6"/>
    <w:rsid w:val="00412DCF"/>
    <w:rsid w:val="00421C35"/>
    <w:rsid w:val="00426D6D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822BF"/>
    <w:rsid w:val="004929BC"/>
    <w:rsid w:val="00494ACA"/>
    <w:rsid w:val="004A0144"/>
    <w:rsid w:val="004A086C"/>
    <w:rsid w:val="004A534B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42C9"/>
    <w:rsid w:val="00506586"/>
    <w:rsid w:val="005067AB"/>
    <w:rsid w:val="005111FA"/>
    <w:rsid w:val="005115FF"/>
    <w:rsid w:val="0052196A"/>
    <w:rsid w:val="005224F1"/>
    <w:rsid w:val="00523788"/>
    <w:rsid w:val="0053612A"/>
    <w:rsid w:val="0053638D"/>
    <w:rsid w:val="005377DD"/>
    <w:rsid w:val="00543F41"/>
    <w:rsid w:val="00544611"/>
    <w:rsid w:val="00544DDD"/>
    <w:rsid w:val="00550685"/>
    <w:rsid w:val="00562B26"/>
    <w:rsid w:val="00563589"/>
    <w:rsid w:val="0056384E"/>
    <w:rsid w:val="00570C8A"/>
    <w:rsid w:val="005927C5"/>
    <w:rsid w:val="005978B0"/>
    <w:rsid w:val="005A205D"/>
    <w:rsid w:val="005A3505"/>
    <w:rsid w:val="005A74CD"/>
    <w:rsid w:val="005A74E5"/>
    <w:rsid w:val="005A7B70"/>
    <w:rsid w:val="005B046E"/>
    <w:rsid w:val="005B2DC7"/>
    <w:rsid w:val="005B397A"/>
    <w:rsid w:val="005B5EE7"/>
    <w:rsid w:val="005B646B"/>
    <w:rsid w:val="005C2E10"/>
    <w:rsid w:val="005D02F3"/>
    <w:rsid w:val="005D2806"/>
    <w:rsid w:val="005E2099"/>
    <w:rsid w:val="005E23EE"/>
    <w:rsid w:val="005E3031"/>
    <w:rsid w:val="005F3C2E"/>
    <w:rsid w:val="005F422B"/>
    <w:rsid w:val="005F446A"/>
    <w:rsid w:val="005F4E95"/>
    <w:rsid w:val="006006A7"/>
    <w:rsid w:val="00605F1C"/>
    <w:rsid w:val="0061068D"/>
    <w:rsid w:val="00614B5F"/>
    <w:rsid w:val="00630EB2"/>
    <w:rsid w:val="006361C1"/>
    <w:rsid w:val="00642E9B"/>
    <w:rsid w:val="00643F0B"/>
    <w:rsid w:val="00650601"/>
    <w:rsid w:val="00655083"/>
    <w:rsid w:val="00662E60"/>
    <w:rsid w:val="006733EA"/>
    <w:rsid w:val="00673947"/>
    <w:rsid w:val="00673CF7"/>
    <w:rsid w:val="00674DEC"/>
    <w:rsid w:val="00674E64"/>
    <w:rsid w:val="0067566E"/>
    <w:rsid w:val="006878E0"/>
    <w:rsid w:val="00690AB6"/>
    <w:rsid w:val="00693D77"/>
    <w:rsid w:val="006A05ED"/>
    <w:rsid w:val="006A557A"/>
    <w:rsid w:val="006A75C6"/>
    <w:rsid w:val="006B46AC"/>
    <w:rsid w:val="006B541D"/>
    <w:rsid w:val="006B5C53"/>
    <w:rsid w:val="006C199D"/>
    <w:rsid w:val="006C24E9"/>
    <w:rsid w:val="006C3465"/>
    <w:rsid w:val="006C7CCD"/>
    <w:rsid w:val="006E34CC"/>
    <w:rsid w:val="006F277F"/>
    <w:rsid w:val="006F6C3D"/>
    <w:rsid w:val="00701B8D"/>
    <w:rsid w:val="00702F7A"/>
    <w:rsid w:val="00712505"/>
    <w:rsid w:val="007205DA"/>
    <w:rsid w:val="00720A95"/>
    <w:rsid w:val="00722D12"/>
    <w:rsid w:val="00723332"/>
    <w:rsid w:val="007278B1"/>
    <w:rsid w:val="007279C4"/>
    <w:rsid w:val="0073293F"/>
    <w:rsid w:val="00753967"/>
    <w:rsid w:val="00760F15"/>
    <w:rsid w:val="00762165"/>
    <w:rsid w:val="007642A7"/>
    <w:rsid w:val="007662EF"/>
    <w:rsid w:val="0076785F"/>
    <w:rsid w:val="00770D88"/>
    <w:rsid w:val="00773A5E"/>
    <w:rsid w:val="00773AFE"/>
    <w:rsid w:val="0077469B"/>
    <w:rsid w:val="00786211"/>
    <w:rsid w:val="00791FD4"/>
    <w:rsid w:val="00794DBD"/>
    <w:rsid w:val="00795E80"/>
    <w:rsid w:val="007A415F"/>
    <w:rsid w:val="007A6FA5"/>
    <w:rsid w:val="007B26E5"/>
    <w:rsid w:val="007B3110"/>
    <w:rsid w:val="007C48A7"/>
    <w:rsid w:val="007D56FB"/>
    <w:rsid w:val="007D5FFF"/>
    <w:rsid w:val="007E1044"/>
    <w:rsid w:val="007E354F"/>
    <w:rsid w:val="007E65F4"/>
    <w:rsid w:val="007F0552"/>
    <w:rsid w:val="007F1D37"/>
    <w:rsid w:val="007F3834"/>
    <w:rsid w:val="007F38AA"/>
    <w:rsid w:val="007F58A4"/>
    <w:rsid w:val="007F6EFA"/>
    <w:rsid w:val="00804427"/>
    <w:rsid w:val="00807BCB"/>
    <w:rsid w:val="00810CF1"/>
    <w:rsid w:val="008123EE"/>
    <w:rsid w:val="00812D16"/>
    <w:rsid w:val="008157B4"/>
    <w:rsid w:val="00817BB8"/>
    <w:rsid w:val="00820572"/>
    <w:rsid w:val="0082241B"/>
    <w:rsid w:val="008226CF"/>
    <w:rsid w:val="00824670"/>
    <w:rsid w:val="00832C49"/>
    <w:rsid w:val="0084041A"/>
    <w:rsid w:val="008406D6"/>
    <w:rsid w:val="0084147E"/>
    <w:rsid w:val="00842334"/>
    <w:rsid w:val="008433CD"/>
    <w:rsid w:val="008473AD"/>
    <w:rsid w:val="00850574"/>
    <w:rsid w:val="0085200B"/>
    <w:rsid w:val="0085233A"/>
    <w:rsid w:val="00854ACB"/>
    <w:rsid w:val="00860745"/>
    <w:rsid w:val="00865F52"/>
    <w:rsid w:val="00870265"/>
    <w:rsid w:val="00872F82"/>
    <w:rsid w:val="00883F8D"/>
    <w:rsid w:val="00891299"/>
    <w:rsid w:val="008A10A9"/>
    <w:rsid w:val="008A22B9"/>
    <w:rsid w:val="008B7F65"/>
    <w:rsid w:val="008C23A1"/>
    <w:rsid w:val="008C4F5D"/>
    <w:rsid w:val="008C5C49"/>
    <w:rsid w:val="008D38FD"/>
    <w:rsid w:val="008D4EFC"/>
    <w:rsid w:val="008D5101"/>
    <w:rsid w:val="008D5735"/>
    <w:rsid w:val="008E0E93"/>
    <w:rsid w:val="008F1CEA"/>
    <w:rsid w:val="008F3449"/>
    <w:rsid w:val="008F6456"/>
    <w:rsid w:val="00900E1B"/>
    <w:rsid w:val="009039C1"/>
    <w:rsid w:val="0091319F"/>
    <w:rsid w:val="00914895"/>
    <w:rsid w:val="00916CD7"/>
    <w:rsid w:val="0091707E"/>
    <w:rsid w:val="00917B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4718"/>
    <w:rsid w:val="009667AC"/>
    <w:rsid w:val="009724F6"/>
    <w:rsid w:val="009745BD"/>
    <w:rsid w:val="009830A9"/>
    <w:rsid w:val="00985663"/>
    <w:rsid w:val="00986BE1"/>
    <w:rsid w:val="00987941"/>
    <w:rsid w:val="00992590"/>
    <w:rsid w:val="009A67CA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414A"/>
    <w:rsid w:val="00A16F60"/>
    <w:rsid w:val="00A23F23"/>
    <w:rsid w:val="00A264B4"/>
    <w:rsid w:val="00A31E58"/>
    <w:rsid w:val="00A32E81"/>
    <w:rsid w:val="00A342E6"/>
    <w:rsid w:val="00A426BC"/>
    <w:rsid w:val="00A4481E"/>
    <w:rsid w:val="00A46439"/>
    <w:rsid w:val="00A46A2F"/>
    <w:rsid w:val="00A47A67"/>
    <w:rsid w:val="00A50485"/>
    <w:rsid w:val="00A50512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58E6"/>
    <w:rsid w:val="00A8689C"/>
    <w:rsid w:val="00A942B8"/>
    <w:rsid w:val="00A94B55"/>
    <w:rsid w:val="00A97C52"/>
    <w:rsid w:val="00AA1999"/>
    <w:rsid w:val="00AA4F24"/>
    <w:rsid w:val="00AB1A19"/>
    <w:rsid w:val="00AB23A9"/>
    <w:rsid w:val="00AB4531"/>
    <w:rsid w:val="00AC1328"/>
    <w:rsid w:val="00AC2C72"/>
    <w:rsid w:val="00AD3473"/>
    <w:rsid w:val="00AD35C2"/>
    <w:rsid w:val="00AD4D55"/>
    <w:rsid w:val="00AD55AB"/>
    <w:rsid w:val="00AE0FD4"/>
    <w:rsid w:val="00AE2203"/>
    <w:rsid w:val="00AE408D"/>
    <w:rsid w:val="00AF3185"/>
    <w:rsid w:val="00B01E0F"/>
    <w:rsid w:val="00B025D5"/>
    <w:rsid w:val="00B031D8"/>
    <w:rsid w:val="00B075D6"/>
    <w:rsid w:val="00B10717"/>
    <w:rsid w:val="00B10F07"/>
    <w:rsid w:val="00B1512C"/>
    <w:rsid w:val="00B2024F"/>
    <w:rsid w:val="00B32603"/>
    <w:rsid w:val="00B37810"/>
    <w:rsid w:val="00B40916"/>
    <w:rsid w:val="00B4394C"/>
    <w:rsid w:val="00B470DC"/>
    <w:rsid w:val="00B53834"/>
    <w:rsid w:val="00B62641"/>
    <w:rsid w:val="00B6532D"/>
    <w:rsid w:val="00B654B1"/>
    <w:rsid w:val="00B723EF"/>
    <w:rsid w:val="00B73140"/>
    <w:rsid w:val="00B734FD"/>
    <w:rsid w:val="00B76C81"/>
    <w:rsid w:val="00B77785"/>
    <w:rsid w:val="00B83C9D"/>
    <w:rsid w:val="00B85199"/>
    <w:rsid w:val="00B878F7"/>
    <w:rsid w:val="00B902D1"/>
    <w:rsid w:val="00B92974"/>
    <w:rsid w:val="00B93291"/>
    <w:rsid w:val="00B93CCC"/>
    <w:rsid w:val="00B97F20"/>
    <w:rsid w:val="00BA08CF"/>
    <w:rsid w:val="00BB0146"/>
    <w:rsid w:val="00BB56AE"/>
    <w:rsid w:val="00BC5209"/>
    <w:rsid w:val="00BD2EFE"/>
    <w:rsid w:val="00BD3A5D"/>
    <w:rsid w:val="00BD40D2"/>
    <w:rsid w:val="00BD4DAD"/>
    <w:rsid w:val="00BE2DB4"/>
    <w:rsid w:val="00BE3B30"/>
    <w:rsid w:val="00BE5498"/>
    <w:rsid w:val="00BE6814"/>
    <w:rsid w:val="00BF614B"/>
    <w:rsid w:val="00C05669"/>
    <w:rsid w:val="00C06786"/>
    <w:rsid w:val="00C1107F"/>
    <w:rsid w:val="00C1254E"/>
    <w:rsid w:val="00C16306"/>
    <w:rsid w:val="00C1645B"/>
    <w:rsid w:val="00C27E57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4E22"/>
    <w:rsid w:val="00C765A4"/>
    <w:rsid w:val="00C84221"/>
    <w:rsid w:val="00CA080F"/>
    <w:rsid w:val="00CA5AB3"/>
    <w:rsid w:val="00CB12E4"/>
    <w:rsid w:val="00CB2A68"/>
    <w:rsid w:val="00CB466F"/>
    <w:rsid w:val="00CB5B91"/>
    <w:rsid w:val="00CC07B0"/>
    <w:rsid w:val="00CC2C23"/>
    <w:rsid w:val="00CC5845"/>
    <w:rsid w:val="00CD24FF"/>
    <w:rsid w:val="00CD2CFE"/>
    <w:rsid w:val="00CE06D2"/>
    <w:rsid w:val="00CE0FBF"/>
    <w:rsid w:val="00CE72D0"/>
    <w:rsid w:val="00CF1166"/>
    <w:rsid w:val="00CF2B0F"/>
    <w:rsid w:val="00CF3F0B"/>
    <w:rsid w:val="00D035B0"/>
    <w:rsid w:val="00D044C1"/>
    <w:rsid w:val="00D06053"/>
    <w:rsid w:val="00D16C3D"/>
    <w:rsid w:val="00D17A1A"/>
    <w:rsid w:val="00D17C09"/>
    <w:rsid w:val="00D17CBE"/>
    <w:rsid w:val="00D321B9"/>
    <w:rsid w:val="00D34973"/>
    <w:rsid w:val="00D34B29"/>
    <w:rsid w:val="00D357E5"/>
    <w:rsid w:val="00D360AE"/>
    <w:rsid w:val="00D369A1"/>
    <w:rsid w:val="00D37163"/>
    <w:rsid w:val="00D41316"/>
    <w:rsid w:val="00D414D3"/>
    <w:rsid w:val="00D42283"/>
    <w:rsid w:val="00D43C7A"/>
    <w:rsid w:val="00D45BA7"/>
    <w:rsid w:val="00D51CA5"/>
    <w:rsid w:val="00D52059"/>
    <w:rsid w:val="00D61DDB"/>
    <w:rsid w:val="00D61E6B"/>
    <w:rsid w:val="00D63ACC"/>
    <w:rsid w:val="00D63FFE"/>
    <w:rsid w:val="00D7399E"/>
    <w:rsid w:val="00D75D4F"/>
    <w:rsid w:val="00D76A36"/>
    <w:rsid w:val="00D81DFC"/>
    <w:rsid w:val="00D87ABA"/>
    <w:rsid w:val="00D9177F"/>
    <w:rsid w:val="00D96C85"/>
    <w:rsid w:val="00D96D4C"/>
    <w:rsid w:val="00D97569"/>
    <w:rsid w:val="00DA2AA5"/>
    <w:rsid w:val="00DA2FED"/>
    <w:rsid w:val="00DB3BFF"/>
    <w:rsid w:val="00DB7F4F"/>
    <w:rsid w:val="00DC738E"/>
    <w:rsid w:val="00DC7BAE"/>
    <w:rsid w:val="00DD13BE"/>
    <w:rsid w:val="00DD6CD7"/>
    <w:rsid w:val="00DE4087"/>
    <w:rsid w:val="00DE6776"/>
    <w:rsid w:val="00DF202E"/>
    <w:rsid w:val="00DF6ABC"/>
    <w:rsid w:val="00DF75C8"/>
    <w:rsid w:val="00E0377F"/>
    <w:rsid w:val="00E113D7"/>
    <w:rsid w:val="00E16C96"/>
    <w:rsid w:val="00E16F49"/>
    <w:rsid w:val="00E25ED6"/>
    <w:rsid w:val="00E265E0"/>
    <w:rsid w:val="00E2679A"/>
    <w:rsid w:val="00E271C1"/>
    <w:rsid w:val="00E27956"/>
    <w:rsid w:val="00E33269"/>
    <w:rsid w:val="00E43C31"/>
    <w:rsid w:val="00E44A49"/>
    <w:rsid w:val="00E45290"/>
    <w:rsid w:val="00E50D05"/>
    <w:rsid w:val="00E542FD"/>
    <w:rsid w:val="00E61A24"/>
    <w:rsid w:val="00E64CE5"/>
    <w:rsid w:val="00E65356"/>
    <w:rsid w:val="00E71916"/>
    <w:rsid w:val="00E8300C"/>
    <w:rsid w:val="00E83F6A"/>
    <w:rsid w:val="00E875B2"/>
    <w:rsid w:val="00E9324F"/>
    <w:rsid w:val="00E971CF"/>
    <w:rsid w:val="00EA4415"/>
    <w:rsid w:val="00EA503B"/>
    <w:rsid w:val="00EA552F"/>
    <w:rsid w:val="00EB03A1"/>
    <w:rsid w:val="00EB3FF9"/>
    <w:rsid w:val="00EB588C"/>
    <w:rsid w:val="00EB72E0"/>
    <w:rsid w:val="00EC213E"/>
    <w:rsid w:val="00EC27C0"/>
    <w:rsid w:val="00ED2480"/>
    <w:rsid w:val="00ED2871"/>
    <w:rsid w:val="00ED585A"/>
    <w:rsid w:val="00ED6B1C"/>
    <w:rsid w:val="00EE25A3"/>
    <w:rsid w:val="00EE6A39"/>
    <w:rsid w:val="00EE79CF"/>
    <w:rsid w:val="00EF7CEC"/>
    <w:rsid w:val="00F0057D"/>
    <w:rsid w:val="00F015C4"/>
    <w:rsid w:val="00F12797"/>
    <w:rsid w:val="00F164D0"/>
    <w:rsid w:val="00F20D8C"/>
    <w:rsid w:val="00F2335C"/>
    <w:rsid w:val="00F2565B"/>
    <w:rsid w:val="00F3290E"/>
    <w:rsid w:val="00F33F89"/>
    <w:rsid w:val="00F35078"/>
    <w:rsid w:val="00F35DDC"/>
    <w:rsid w:val="00F41A60"/>
    <w:rsid w:val="00F43173"/>
    <w:rsid w:val="00F43218"/>
    <w:rsid w:val="00F45742"/>
    <w:rsid w:val="00F4596A"/>
    <w:rsid w:val="00F56BC8"/>
    <w:rsid w:val="00F61D3E"/>
    <w:rsid w:val="00F6407C"/>
    <w:rsid w:val="00F6569B"/>
    <w:rsid w:val="00F674C8"/>
    <w:rsid w:val="00F7365F"/>
    <w:rsid w:val="00F73A44"/>
    <w:rsid w:val="00F77641"/>
    <w:rsid w:val="00F812CC"/>
    <w:rsid w:val="00F8751C"/>
    <w:rsid w:val="00F8758E"/>
    <w:rsid w:val="00F94FEC"/>
    <w:rsid w:val="00F97B52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7003"/>
    <w:rsid w:val="00FD7F47"/>
    <w:rsid w:val="00FE7C17"/>
    <w:rsid w:val="00FF26B3"/>
    <w:rsid w:val="00FF2C15"/>
    <w:rsid w:val="00FF3F80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arc" idref="#_x0000_s1034"/>
        <o:r id="V:Rule5" type="arc" idref="#_x0000_s1035"/>
        <o:r id="V:Rule6" type="arc" idref="#_x0000_s1036"/>
        <o:r id="V:Rule7" type="arc" idref="#_x0000_s1040"/>
        <o:r id="V:Rule8" type="arc" idref="#_x0000_s1041"/>
        <o:r id="V:Rule9" type="arc" idref="#_x0000_s1042"/>
        <o:r id="V:Rule21" type="connector" idref="#_x0000_s1071"/>
        <o:r id="V:Rule22" type="connector" idref="#_x0000_s1055"/>
        <o:r id="V:Rule23" type="connector" idref="#_x0000_s1057"/>
        <o:r id="V:Rule24" type="connector" idref="#_x0000_s1058"/>
        <o:r id="V:Rule25" type="connector" idref="#_x0000_s1062"/>
        <o:r id="V:Rule26" type="connector" idref="#_x0000_s1052"/>
        <o:r id="V:Rule27" type="connector" idref="#_x0000_s1030"/>
        <o:r id="V:Rule28" type="connector" idref="#_x0000_s1053"/>
        <o:r id="V:Rule29" type="connector" idref="#_x0000_s1029"/>
        <o:r id="V:Rule30" type="connector" idref="#_x0000_s1070"/>
        <o:r id="V:Rule31" type="connector" idref="#_x0000_s1054"/>
        <o:r id="V:Rule32" type="connector" idref="#_x0000_s1028"/>
        <o:r id="V:Rule33" type="connector" idref="#_x0000_s1056"/>
        <o:r id="V:Rule34" type="connector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590"/>
    <w:pPr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590"/>
    <w:pPr>
      <w:ind w:left="720"/>
      <w:contextualSpacing/>
    </w:pPr>
  </w:style>
  <w:style w:type="table" w:styleId="a4">
    <w:name w:val="Table Grid"/>
    <w:basedOn w:val="a1"/>
    <w:uiPriority w:val="59"/>
    <w:rsid w:val="00992590"/>
    <w:pPr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25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590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0B6249"/>
    <w:pPr>
      <w:spacing w:before="100" w:beforeAutospacing="1" w:after="100" w:afterAutospacing="1"/>
      <w:jc w:val="lef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35</cp:revision>
  <dcterms:created xsi:type="dcterms:W3CDTF">2012-09-04T10:20:00Z</dcterms:created>
  <dcterms:modified xsi:type="dcterms:W3CDTF">2012-09-24T12:43:00Z</dcterms:modified>
</cp:coreProperties>
</file>